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E4D2" w14:textId="3B98CB78" w:rsidR="00FF1DAD" w:rsidRDefault="00FC53C8">
      <w:pPr>
        <w:pStyle w:val="resotitle"/>
        <w:spacing w:before="0"/>
        <w:outlineLvl w:val="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RESOLUTION NO. 201</w:t>
      </w:r>
      <w:r w:rsidR="001443E2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 – </w:t>
      </w:r>
    </w:p>
    <w:p w14:paraId="629CF9C5" w14:textId="77777777" w:rsidR="00FF1DAD" w:rsidRDefault="00FF1DAD">
      <w:pPr>
        <w:pStyle w:val="resotitle"/>
        <w:spacing w:before="0"/>
        <w:rPr>
          <w:rFonts w:ascii="Century Gothic" w:hAnsi="Century Gothic"/>
          <w:sz w:val="22"/>
          <w:szCs w:val="22"/>
        </w:rPr>
      </w:pPr>
    </w:p>
    <w:p w14:paraId="3B26DE39" w14:textId="77777777" w:rsidR="00FF1DAD" w:rsidRDefault="00FC53C8">
      <w:pPr>
        <w:pStyle w:val="resotitle"/>
        <w:spacing w:before="0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BOARD OF DIRECTORS, PENINSULA CORRIDOR JOINT POWERS BOARD</w:t>
      </w:r>
    </w:p>
    <w:p w14:paraId="5D27FA83" w14:textId="77777777" w:rsidR="00FF1DAD" w:rsidRDefault="00FC53C8">
      <w:pPr>
        <w:pStyle w:val="resotitle"/>
        <w:spacing w:befor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STATE OF CALIFORNIA</w:t>
      </w:r>
    </w:p>
    <w:p w14:paraId="61C24A35" w14:textId="77777777" w:rsidR="00F31468" w:rsidRDefault="00F31468">
      <w:pPr>
        <w:pStyle w:val="resotitle"/>
        <w:spacing w:before="0"/>
        <w:rPr>
          <w:rFonts w:ascii="Century Gothic" w:hAnsi="Century Gothic"/>
          <w:sz w:val="22"/>
          <w:szCs w:val="22"/>
        </w:rPr>
      </w:pPr>
    </w:p>
    <w:p w14:paraId="75A5AC31" w14:textId="551EFAB9" w:rsidR="00F31468" w:rsidRPr="001443E2" w:rsidRDefault="00F31468">
      <w:pPr>
        <w:pStyle w:val="resotitle"/>
        <w:spacing w:before="0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EXPRESSING ITS STRENUOUS OPPOSITION TO PROPOSITION 6, WHICH WOULD REPEAL </w:t>
      </w:r>
      <w:r w:rsidRPr="001443E2">
        <w:rPr>
          <w:rFonts w:ascii="Century Gothic" w:hAnsi="Century Gothic"/>
          <w:sz w:val="22"/>
          <w:szCs w:val="22"/>
          <w:u w:val="single"/>
        </w:rPr>
        <w:t xml:space="preserve">SENATE BILL </w:t>
      </w:r>
      <w:r w:rsidR="001443E2">
        <w:rPr>
          <w:rFonts w:ascii="Century Gothic" w:hAnsi="Century Gothic"/>
          <w:sz w:val="22"/>
          <w:szCs w:val="22"/>
          <w:u w:val="single"/>
        </w:rPr>
        <w:t>1</w:t>
      </w:r>
      <w:r w:rsidRPr="001443E2">
        <w:rPr>
          <w:rFonts w:ascii="Century Gothic" w:hAnsi="Century Gothic"/>
          <w:sz w:val="22"/>
          <w:szCs w:val="22"/>
          <w:u w:val="single"/>
        </w:rPr>
        <w:t>, ALSO KNOWN AS THE "ROAD REPAIR AND ACCOUNTABILITY ACT"</w:t>
      </w:r>
    </w:p>
    <w:p w14:paraId="6FCBC4F1" w14:textId="77777777" w:rsidR="00FF1DAD" w:rsidRDefault="00FF1DAD">
      <w:pPr>
        <w:pStyle w:val="resotitle"/>
        <w:spacing w:before="0"/>
        <w:rPr>
          <w:rFonts w:ascii="Century Gothic" w:hAnsi="Century Gothic"/>
          <w:sz w:val="22"/>
          <w:szCs w:val="22"/>
        </w:rPr>
      </w:pPr>
    </w:p>
    <w:p w14:paraId="774F362D" w14:textId="77777777" w:rsidR="00FF1DAD" w:rsidRDefault="00FC53C8">
      <w:pPr>
        <w:pStyle w:val="resotitle"/>
        <w:spacing w:befor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   *   *</w:t>
      </w:r>
    </w:p>
    <w:p w14:paraId="41419B83" w14:textId="77777777" w:rsidR="00572B5D" w:rsidRDefault="00572B5D">
      <w:pPr>
        <w:pStyle w:val="resotitle2"/>
        <w:spacing w:before="0" w:after="0"/>
        <w:ind w:left="1080" w:right="1080"/>
        <w:jc w:val="both"/>
        <w:rPr>
          <w:rFonts w:ascii="Century Gothic" w:hAnsi="Century Gothic"/>
          <w:sz w:val="22"/>
          <w:szCs w:val="22"/>
        </w:rPr>
      </w:pPr>
    </w:p>
    <w:p w14:paraId="0CF7D692" w14:textId="77777777" w:rsidR="00FF1DAD" w:rsidRDefault="00FC53C8" w:rsidP="005D7C8C">
      <w:pPr>
        <w:pStyle w:val="recitals"/>
        <w:spacing w:line="360" w:lineRule="auto"/>
        <w:ind w:right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WHEREAS</w:t>
      </w:r>
      <w:r>
        <w:rPr>
          <w:rFonts w:ascii="Century Gothic" w:hAnsi="Century Gothic"/>
          <w:sz w:val="22"/>
          <w:szCs w:val="22"/>
        </w:rPr>
        <w:t>,</w:t>
      </w:r>
      <w:r w:rsidR="002C047C" w:rsidRPr="002C047C">
        <w:t xml:space="preserve"> </w:t>
      </w:r>
      <w:r w:rsidR="002C047C" w:rsidRPr="002C047C">
        <w:rPr>
          <w:rFonts w:ascii="Century Gothic" w:hAnsi="Century Gothic"/>
          <w:sz w:val="22"/>
          <w:szCs w:val="22"/>
        </w:rPr>
        <w:t>Caltrain provides commuter rail service along the San Francisco Peninsula from San Francisco to San Jose, with additional service to Gilroy</w:t>
      </w:r>
      <w:r w:rsidR="002C047C">
        <w:rPr>
          <w:rFonts w:ascii="Century Gothic" w:hAnsi="Century Gothic"/>
          <w:sz w:val="22"/>
          <w:szCs w:val="22"/>
        </w:rPr>
        <w:t xml:space="preserve"> and, i</w:t>
      </w:r>
      <w:r w:rsidR="002C047C" w:rsidRPr="002C047C">
        <w:rPr>
          <w:rFonts w:ascii="Century Gothic" w:hAnsi="Century Gothic"/>
          <w:sz w:val="22"/>
          <w:szCs w:val="22"/>
        </w:rPr>
        <w:t>n 2017, Caltrain had an average weekday rider</w:t>
      </w:r>
      <w:r w:rsidR="00572B5D">
        <w:rPr>
          <w:rFonts w:ascii="Century Gothic" w:hAnsi="Century Gothic"/>
          <w:sz w:val="22"/>
          <w:szCs w:val="22"/>
        </w:rPr>
        <w:t xml:space="preserve">ship </w:t>
      </w:r>
      <w:r w:rsidR="00E326A8">
        <w:rPr>
          <w:rFonts w:ascii="Century Gothic" w:hAnsi="Century Gothic"/>
          <w:sz w:val="22"/>
          <w:szCs w:val="22"/>
        </w:rPr>
        <w:t xml:space="preserve">of </w:t>
      </w:r>
      <w:r w:rsidR="00572B5D">
        <w:rPr>
          <w:rFonts w:ascii="Century Gothic" w:hAnsi="Century Gothic"/>
          <w:sz w:val="22"/>
          <w:szCs w:val="22"/>
        </w:rPr>
        <w:t>over 62,000 people; and,</w:t>
      </w:r>
    </w:p>
    <w:p w14:paraId="1AEF5AAF" w14:textId="3CFB525D" w:rsidR="002C047C" w:rsidRDefault="00FC53C8" w:rsidP="002C047C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WHEREAS</w:t>
      </w:r>
      <w:r>
        <w:rPr>
          <w:rFonts w:ascii="Century Gothic" w:hAnsi="Century Gothic"/>
          <w:sz w:val="22"/>
          <w:szCs w:val="22"/>
        </w:rPr>
        <w:t xml:space="preserve">, </w:t>
      </w:r>
      <w:r w:rsidR="002C047C">
        <w:rPr>
          <w:rFonts w:ascii="Century Gothic" w:hAnsi="Century Gothic"/>
          <w:sz w:val="22"/>
          <w:szCs w:val="22"/>
        </w:rPr>
        <w:t>in 2017, the California State Legislature passed, and Governor Brown signed</w:t>
      </w:r>
      <w:r w:rsidR="00905CEE">
        <w:rPr>
          <w:rFonts w:ascii="Century Gothic" w:hAnsi="Century Gothic"/>
          <w:sz w:val="22"/>
          <w:szCs w:val="22"/>
        </w:rPr>
        <w:t>,</w:t>
      </w:r>
      <w:r w:rsidR="002C047C">
        <w:rPr>
          <w:rFonts w:ascii="Century Gothic" w:hAnsi="Century Gothic"/>
          <w:sz w:val="22"/>
          <w:szCs w:val="22"/>
        </w:rPr>
        <w:t xml:space="preserve"> Senate Bill 1</w:t>
      </w:r>
      <w:r w:rsidR="00572B5D">
        <w:rPr>
          <w:rFonts w:ascii="Century Gothic" w:hAnsi="Century Gothic"/>
          <w:sz w:val="22"/>
          <w:szCs w:val="22"/>
        </w:rPr>
        <w:t>(S</w:t>
      </w:r>
      <w:r w:rsidR="00244B59">
        <w:rPr>
          <w:rFonts w:ascii="Century Gothic" w:hAnsi="Century Gothic"/>
          <w:sz w:val="22"/>
          <w:szCs w:val="22"/>
        </w:rPr>
        <w:t>.</w:t>
      </w:r>
      <w:r w:rsidR="00572B5D">
        <w:rPr>
          <w:rFonts w:ascii="Century Gothic" w:hAnsi="Century Gothic"/>
          <w:sz w:val="22"/>
          <w:szCs w:val="22"/>
        </w:rPr>
        <w:t>B</w:t>
      </w:r>
      <w:r w:rsidR="00244B59">
        <w:rPr>
          <w:rFonts w:ascii="Century Gothic" w:hAnsi="Century Gothic"/>
          <w:sz w:val="22"/>
          <w:szCs w:val="22"/>
        </w:rPr>
        <w:t>.</w:t>
      </w:r>
      <w:r w:rsidR="00572B5D">
        <w:rPr>
          <w:rFonts w:ascii="Century Gothic" w:hAnsi="Century Gothic"/>
          <w:sz w:val="22"/>
          <w:szCs w:val="22"/>
        </w:rPr>
        <w:t xml:space="preserve"> 1)</w:t>
      </w:r>
      <w:r w:rsidR="002C047C">
        <w:rPr>
          <w:rFonts w:ascii="Century Gothic" w:hAnsi="Century Gothic"/>
          <w:sz w:val="22"/>
          <w:szCs w:val="22"/>
        </w:rPr>
        <w:t xml:space="preserve">, also known as the </w:t>
      </w:r>
      <w:r w:rsidR="00F31468">
        <w:rPr>
          <w:rFonts w:ascii="Century Gothic" w:hAnsi="Century Gothic"/>
          <w:sz w:val="22"/>
          <w:szCs w:val="22"/>
        </w:rPr>
        <w:t>"</w:t>
      </w:r>
      <w:r w:rsidR="002C047C" w:rsidRPr="002C047C">
        <w:rPr>
          <w:rFonts w:ascii="Century Gothic" w:hAnsi="Century Gothic"/>
          <w:sz w:val="22"/>
          <w:szCs w:val="22"/>
        </w:rPr>
        <w:t>Road Repair and Accountability Act</w:t>
      </w:r>
      <w:r w:rsidR="002C047C">
        <w:rPr>
          <w:rFonts w:ascii="Century Gothic" w:hAnsi="Century Gothic"/>
          <w:sz w:val="22"/>
          <w:szCs w:val="22"/>
        </w:rPr>
        <w:t>,</w:t>
      </w:r>
      <w:r w:rsidR="00F31468">
        <w:rPr>
          <w:rFonts w:ascii="Century Gothic" w:hAnsi="Century Gothic"/>
          <w:sz w:val="22"/>
          <w:szCs w:val="22"/>
        </w:rPr>
        <w:t>"</w:t>
      </w:r>
      <w:r w:rsidR="002C047C" w:rsidRPr="002C047C">
        <w:t xml:space="preserve"> </w:t>
      </w:r>
      <w:r w:rsidR="002C047C" w:rsidRPr="002C047C">
        <w:rPr>
          <w:rFonts w:ascii="Century Gothic" w:hAnsi="Century Gothic"/>
          <w:sz w:val="22"/>
          <w:szCs w:val="22"/>
        </w:rPr>
        <w:t xml:space="preserve">a landmark transportation investment </w:t>
      </w:r>
      <w:r w:rsidR="00E326A8">
        <w:rPr>
          <w:rFonts w:ascii="Century Gothic" w:hAnsi="Century Gothic"/>
          <w:sz w:val="22"/>
          <w:szCs w:val="22"/>
        </w:rPr>
        <w:t xml:space="preserve">program designed to (1) </w:t>
      </w:r>
      <w:r w:rsidR="002C047C" w:rsidRPr="002C047C">
        <w:rPr>
          <w:rFonts w:ascii="Century Gothic" w:hAnsi="Century Gothic"/>
          <w:sz w:val="22"/>
          <w:szCs w:val="22"/>
        </w:rPr>
        <w:t>rebuild California</w:t>
      </w:r>
      <w:r w:rsidR="00B16D42">
        <w:rPr>
          <w:rFonts w:ascii="Century Gothic" w:hAnsi="Century Gothic"/>
          <w:sz w:val="22"/>
          <w:szCs w:val="22"/>
        </w:rPr>
        <w:t>'s transportation infrastructure</w:t>
      </w:r>
      <w:r w:rsidR="002C047C" w:rsidRPr="002C047C">
        <w:rPr>
          <w:rFonts w:ascii="Century Gothic" w:hAnsi="Century Gothic"/>
          <w:sz w:val="22"/>
          <w:szCs w:val="22"/>
        </w:rPr>
        <w:t xml:space="preserve"> by fixing neighborhood streets, freeways and bridges in communities across </w:t>
      </w:r>
      <w:r w:rsidR="00B16D42">
        <w:rPr>
          <w:rFonts w:ascii="Century Gothic" w:hAnsi="Century Gothic"/>
          <w:sz w:val="22"/>
          <w:szCs w:val="22"/>
        </w:rPr>
        <w:t>the State,</w:t>
      </w:r>
      <w:r w:rsidR="00B16D42" w:rsidRPr="002C047C">
        <w:rPr>
          <w:rFonts w:ascii="Century Gothic" w:hAnsi="Century Gothic"/>
          <w:sz w:val="22"/>
          <w:szCs w:val="22"/>
        </w:rPr>
        <w:t xml:space="preserve"> </w:t>
      </w:r>
      <w:r w:rsidR="002C047C" w:rsidRPr="002C047C">
        <w:rPr>
          <w:rFonts w:ascii="Century Gothic" w:hAnsi="Century Gothic"/>
          <w:sz w:val="22"/>
          <w:szCs w:val="22"/>
        </w:rPr>
        <w:t xml:space="preserve">and </w:t>
      </w:r>
      <w:r w:rsidR="00B16D42">
        <w:rPr>
          <w:rFonts w:ascii="Century Gothic" w:hAnsi="Century Gothic"/>
          <w:sz w:val="22"/>
          <w:szCs w:val="22"/>
        </w:rPr>
        <w:t>(2) strengthen</w:t>
      </w:r>
      <w:r w:rsidR="00D13B88">
        <w:rPr>
          <w:rFonts w:ascii="Century Gothic" w:hAnsi="Century Gothic"/>
          <w:sz w:val="22"/>
          <w:szCs w:val="22"/>
        </w:rPr>
        <w:t>,</w:t>
      </w:r>
      <w:r w:rsidR="00B16D42">
        <w:rPr>
          <w:rFonts w:ascii="Century Gothic" w:hAnsi="Century Gothic"/>
          <w:sz w:val="22"/>
          <w:szCs w:val="22"/>
        </w:rPr>
        <w:t xml:space="preserve"> revitalize</w:t>
      </w:r>
      <w:r w:rsidR="00D13B88">
        <w:rPr>
          <w:rFonts w:ascii="Century Gothic" w:hAnsi="Century Gothic"/>
          <w:sz w:val="22"/>
          <w:szCs w:val="22"/>
        </w:rPr>
        <w:t>, and improve</w:t>
      </w:r>
      <w:r w:rsidR="00B16D42">
        <w:rPr>
          <w:rFonts w:ascii="Century Gothic" w:hAnsi="Century Gothic"/>
          <w:sz w:val="22"/>
          <w:szCs w:val="22"/>
        </w:rPr>
        <w:t xml:space="preserve"> </w:t>
      </w:r>
      <w:r w:rsidR="002C047C" w:rsidRPr="002C047C">
        <w:rPr>
          <w:rFonts w:ascii="Century Gothic" w:hAnsi="Century Gothic"/>
          <w:sz w:val="22"/>
          <w:szCs w:val="22"/>
        </w:rPr>
        <w:t xml:space="preserve">transit </w:t>
      </w:r>
      <w:r w:rsidR="00B16D42">
        <w:rPr>
          <w:rFonts w:ascii="Century Gothic" w:hAnsi="Century Gothic"/>
          <w:sz w:val="22"/>
          <w:szCs w:val="22"/>
        </w:rPr>
        <w:t xml:space="preserve">systems </w:t>
      </w:r>
      <w:r w:rsidR="002C047C" w:rsidRPr="002C047C">
        <w:rPr>
          <w:rFonts w:ascii="Century Gothic" w:hAnsi="Century Gothic"/>
          <w:sz w:val="22"/>
          <w:szCs w:val="22"/>
        </w:rPr>
        <w:t>and congested trade and</w:t>
      </w:r>
      <w:r w:rsidR="00572B5D">
        <w:rPr>
          <w:rFonts w:ascii="Century Gothic" w:hAnsi="Century Gothic"/>
          <w:sz w:val="22"/>
          <w:szCs w:val="22"/>
        </w:rPr>
        <w:t xml:space="preserve"> commute corridor</w:t>
      </w:r>
      <w:r w:rsidR="00B16D42">
        <w:rPr>
          <w:rFonts w:ascii="Century Gothic" w:hAnsi="Century Gothic"/>
          <w:sz w:val="22"/>
          <w:szCs w:val="22"/>
        </w:rPr>
        <w:t>s</w:t>
      </w:r>
      <w:r w:rsidR="00572B5D">
        <w:rPr>
          <w:rFonts w:ascii="Century Gothic" w:hAnsi="Century Gothic"/>
          <w:sz w:val="22"/>
          <w:szCs w:val="22"/>
        </w:rPr>
        <w:t>; and,</w:t>
      </w:r>
    </w:p>
    <w:p w14:paraId="6B76B587" w14:textId="77777777" w:rsidR="002C047C" w:rsidRPr="002C047C" w:rsidRDefault="002C047C" w:rsidP="002C047C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WHEREAS,</w:t>
      </w:r>
      <w:r w:rsidRPr="002C047C">
        <w:rPr>
          <w:rFonts w:ascii="Century Gothic" w:hAnsi="Century Gothic"/>
          <w:sz w:val="22"/>
          <w:szCs w:val="22"/>
        </w:rPr>
        <w:t xml:space="preserve"> S</w:t>
      </w:r>
      <w:r w:rsidR="00890424">
        <w:rPr>
          <w:rFonts w:ascii="Century Gothic" w:hAnsi="Century Gothic"/>
          <w:sz w:val="22"/>
          <w:szCs w:val="22"/>
        </w:rPr>
        <w:t>.</w:t>
      </w:r>
      <w:r w:rsidRPr="002C047C">
        <w:rPr>
          <w:rFonts w:ascii="Century Gothic" w:hAnsi="Century Gothic"/>
          <w:sz w:val="22"/>
          <w:szCs w:val="22"/>
        </w:rPr>
        <w:t>B</w:t>
      </w:r>
      <w:r w:rsidR="00890424">
        <w:rPr>
          <w:rFonts w:ascii="Century Gothic" w:hAnsi="Century Gothic"/>
          <w:sz w:val="22"/>
          <w:szCs w:val="22"/>
        </w:rPr>
        <w:t>.</w:t>
      </w:r>
      <w:r w:rsidRPr="002C047C">
        <w:rPr>
          <w:rFonts w:ascii="Century Gothic" w:hAnsi="Century Gothic"/>
          <w:sz w:val="22"/>
          <w:szCs w:val="22"/>
        </w:rPr>
        <w:t xml:space="preserve"> 1 </w:t>
      </w:r>
      <w:r w:rsidR="00905CEE">
        <w:rPr>
          <w:rFonts w:ascii="Century Gothic" w:hAnsi="Century Gothic"/>
          <w:sz w:val="22"/>
          <w:szCs w:val="22"/>
        </w:rPr>
        <w:t xml:space="preserve">will </w:t>
      </w:r>
      <w:r w:rsidRPr="002C047C">
        <w:rPr>
          <w:rFonts w:ascii="Century Gothic" w:hAnsi="Century Gothic"/>
          <w:sz w:val="22"/>
          <w:szCs w:val="22"/>
        </w:rPr>
        <w:t>invest $5.4 billion annually over the next decade to fix California</w:t>
      </w:r>
      <w:r w:rsidRPr="002C047C">
        <w:rPr>
          <w:rFonts w:ascii="Century Gothic" w:hAnsi="Century Gothic" w:hint="eastAsia"/>
          <w:sz w:val="22"/>
          <w:szCs w:val="22"/>
        </w:rPr>
        <w:t>’</w:t>
      </w:r>
      <w:r>
        <w:rPr>
          <w:rFonts w:ascii="Century Gothic" w:hAnsi="Century Gothic"/>
          <w:sz w:val="22"/>
          <w:szCs w:val="22"/>
        </w:rPr>
        <w:t>s transportation system</w:t>
      </w:r>
      <w:r w:rsidR="00F31468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and w</w:t>
      </w:r>
      <w:r w:rsidRPr="002C047C">
        <w:rPr>
          <w:rFonts w:ascii="Century Gothic" w:hAnsi="Century Gothic"/>
          <w:sz w:val="22"/>
          <w:szCs w:val="22"/>
        </w:rPr>
        <w:t>ill address a backlog of repairs and upgrades, while ensuring a cleaner and more sustainabl</w:t>
      </w:r>
      <w:r w:rsidR="00572B5D">
        <w:rPr>
          <w:rFonts w:ascii="Century Gothic" w:hAnsi="Century Gothic"/>
          <w:sz w:val="22"/>
          <w:szCs w:val="22"/>
        </w:rPr>
        <w:t>e travel network for the future;</w:t>
      </w:r>
      <w:r w:rsidR="00572B5D" w:rsidRPr="00572B5D">
        <w:rPr>
          <w:rFonts w:ascii="Century Gothic" w:hAnsi="Century Gothic"/>
          <w:sz w:val="22"/>
          <w:szCs w:val="22"/>
        </w:rPr>
        <w:t xml:space="preserve"> </w:t>
      </w:r>
      <w:r w:rsidR="00572B5D">
        <w:rPr>
          <w:rFonts w:ascii="Century Gothic" w:hAnsi="Century Gothic"/>
          <w:sz w:val="22"/>
          <w:szCs w:val="22"/>
        </w:rPr>
        <w:t>and,</w:t>
      </w:r>
    </w:p>
    <w:p w14:paraId="6F9B1E6D" w14:textId="77777777" w:rsidR="00F31468" w:rsidRDefault="00B16D42" w:rsidP="00905CEE">
      <w:pPr>
        <w:tabs>
          <w:tab w:val="left" w:pos="-720"/>
        </w:tabs>
        <w:suppressAutoHyphens/>
        <w:spacing w:line="360" w:lineRule="auto"/>
        <w:ind w:firstLine="720"/>
        <w:rPr>
          <w:rFonts w:ascii="Century Gothic" w:hAnsi="Century Gothic"/>
          <w:sz w:val="22"/>
          <w:szCs w:val="22"/>
        </w:rPr>
      </w:pPr>
      <w:r w:rsidRPr="00B16D42">
        <w:rPr>
          <w:rFonts w:ascii="Century Gothic" w:hAnsi="Century Gothic"/>
          <w:b/>
          <w:sz w:val="22"/>
          <w:szCs w:val="22"/>
        </w:rPr>
        <w:t>WHEREAS,</w:t>
      </w:r>
      <w:r w:rsidRPr="001443E2">
        <w:rPr>
          <w:rFonts w:ascii="Century Gothic" w:hAnsi="Century Gothic"/>
          <w:sz w:val="22"/>
          <w:szCs w:val="22"/>
        </w:rPr>
        <w:t xml:space="preserve"> before S.B. 1</w:t>
      </w:r>
      <w:r w:rsidR="00F31468">
        <w:rPr>
          <w:rFonts w:ascii="Century Gothic" w:hAnsi="Century Gothic"/>
          <w:sz w:val="22"/>
          <w:szCs w:val="22"/>
        </w:rPr>
        <w:t>,</w:t>
      </w:r>
      <w:r w:rsidRPr="001443E2">
        <w:rPr>
          <w:rFonts w:ascii="Century Gothic" w:hAnsi="Century Gothic"/>
          <w:sz w:val="22"/>
          <w:szCs w:val="22"/>
        </w:rPr>
        <w:t xml:space="preserve"> Caltrain</w:t>
      </w:r>
      <w:r w:rsidRPr="00B16D42">
        <w:rPr>
          <w:rFonts w:ascii="Century Gothic" w:hAnsi="Century Gothic"/>
          <w:sz w:val="22"/>
          <w:szCs w:val="22"/>
        </w:rPr>
        <w:t xml:space="preserve"> lacked</w:t>
      </w:r>
      <w:r w:rsidRPr="001443E2">
        <w:rPr>
          <w:rFonts w:ascii="Century Gothic" w:hAnsi="Century Gothic"/>
          <w:sz w:val="22"/>
          <w:szCs w:val="22"/>
        </w:rPr>
        <w:t xml:space="preserve"> a</w:t>
      </w:r>
      <w:r>
        <w:rPr>
          <w:rFonts w:ascii="Century Gothic" w:hAnsi="Century Gothic"/>
          <w:sz w:val="22"/>
          <w:szCs w:val="22"/>
        </w:rPr>
        <w:t>ny</w:t>
      </w:r>
      <w:r w:rsidRPr="001443E2">
        <w:rPr>
          <w:rFonts w:ascii="Century Gothic" w:hAnsi="Century Gothic"/>
          <w:sz w:val="22"/>
          <w:szCs w:val="22"/>
        </w:rPr>
        <w:t xml:space="preserve"> dedicated source of funding to support </w:t>
      </w:r>
      <w:r>
        <w:rPr>
          <w:rFonts w:ascii="Century Gothic" w:hAnsi="Century Gothic"/>
          <w:sz w:val="22"/>
          <w:szCs w:val="22"/>
        </w:rPr>
        <w:t>its</w:t>
      </w:r>
      <w:r w:rsidRPr="001443E2">
        <w:rPr>
          <w:rFonts w:ascii="Century Gothic" w:hAnsi="Century Gothic"/>
          <w:sz w:val="22"/>
          <w:szCs w:val="22"/>
        </w:rPr>
        <w:t xml:space="preserve"> ongoing operating and capital costs, even as the system has increasingly recovered more of its operating costs through fares and self-generated revenues</w:t>
      </w:r>
      <w:r w:rsidR="00F31468">
        <w:rPr>
          <w:rFonts w:ascii="Century Gothic" w:hAnsi="Century Gothic"/>
          <w:sz w:val="22"/>
          <w:szCs w:val="22"/>
        </w:rPr>
        <w:t>; and</w:t>
      </w:r>
    </w:p>
    <w:p w14:paraId="575399F1" w14:textId="2CC8A128" w:rsidR="002C047C" w:rsidRDefault="00F31468" w:rsidP="00905CEE">
      <w:pPr>
        <w:tabs>
          <w:tab w:val="left" w:pos="-720"/>
        </w:tabs>
        <w:suppressAutoHyphens/>
        <w:spacing w:line="360" w:lineRule="auto"/>
        <w:ind w:firstLine="720"/>
        <w:rPr>
          <w:rFonts w:ascii="Century Gothic" w:hAnsi="Century Gothic"/>
          <w:sz w:val="22"/>
          <w:szCs w:val="22"/>
        </w:rPr>
      </w:pPr>
      <w:r w:rsidRPr="001443E2">
        <w:rPr>
          <w:rFonts w:ascii="Century Gothic" w:hAnsi="Century Gothic"/>
          <w:b/>
          <w:sz w:val="22"/>
          <w:szCs w:val="22"/>
        </w:rPr>
        <w:t>WHEREAS</w:t>
      </w:r>
      <w:r>
        <w:rPr>
          <w:rFonts w:ascii="Century Gothic" w:hAnsi="Century Gothic"/>
          <w:sz w:val="22"/>
          <w:szCs w:val="22"/>
        </w:rPr>
        <w:t>, i</w:t>
      </w:r>
      <w:r w:rsidR="00066071">
        <w:rPr>
          <w:rFonts w:ascii="Century Gothic" w:hAnsi="Century Gothic"/>
          <w:sz w:val="22"/>
          <w:szCs w:val="22"/>
        </w:rPr>
        <w:t xml:space="preserve">n </w:t>
      </w:r>
      <w:r>
        <w:rPr>
          <w:rFonts w:ascii="Century Gothic" w:hAnsi="Century Gothic"/>
          <w:sz w:val="22"/>
          <w:szCs w:val="22"/>
        </w:rPr>
        <w:t xml:space="preserve">just </w:t>
      </w:r>
      <w:r w:rsidR="00066071">
        <w:rPr>
          <w:rFonts w:ascii="Century Gothic" w:hAnsi="Century Gothic"/>
          <w:sz w:val="22"/>
          <w:szCs w:val="22"/>
        </w:rPr>
        <w:t xml:space="preserve">this first year </w:t>
      </w:r>
      <w:r>
        <w:rPr>
          <w:rFonts w:ascii="Century Gothic" w:hAnsi="Century Gothic"/>
          <w:sz w:val="22"/>
          <w:szCs w:val="22"/>
        </w:rPr>
        <w:t xml:space="preserve">since S.B.1 became law, funds from the </w:t>
      </w:r>
      <w:r w:rsidRPr="002C047C">
        <w:rPr>
          <w:rFonts w:ascii="Century Gothic" w:hAnsi="Century Gothic"/>
          <w:sz w:val="22"/>
          <w:szCs w:val="22"/>
        </w:rPr>
        <w:t>Road Repair and Accountability Act</w:t>
      </w:r>
      <w:r w:rsidR="00FF7B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will</w:t>
      </w:r>
      <w:r w:rsidR="00066071">
        <w:rPr>
          <w:rFonts w:ascii="Century Gothic" w:hAnsi="Century Gothic"/>
          <w:sz w:val="22"/>
          <w:szCs w:val="22"/>
        </w:rPr>
        <w:t xml:space="preserve"> </w:t>
      </w:r>
      <w:r w:rsidR="00B9560C">
        <w:rPr>
          <w:rFonts w:ascii="Century Gothic" w:hAnsi="Century Gothic"/>
          <w:sz w:val="22"/>
          <w:szCs w:val="22"/>
        </w:rPr>
        <w:t>provid</w:t>
      </w:r>
      <w:r>
        <w:rPr>
          <w:rFonts w:ascii="Century Gothic" w:hAnsi="Century Gothic"/>
          <w:sz w:val="22"/>
          <w:szCs w:val="22"/>
        </w:rPr>
        <w:t>e</w:t>
      </w:r>
      <w:r w:rsidR="00B9560C">
        <w:rPr>
          <w:rFonts w:ascii="Century Gothic" w:hAnsi="Century Gothic"/>
          <w:sz w:val="22"/>
          <w:szCs w:val="22"/>
        </w:rPr>
        <w:t xml:space="preserve"> </w:t>
      </w:r>
      <w:r w:rsidR="002C047C" w:rsidRPr="002C047C">
        <w:rPr>
          <w:rFonts w:ascii="Century Gothic" w:hAnsi="Century Gothic"/>
          <w:sz w:val="22"/>
          <w:szCs w:val="22"/>
        </w:rPr>
        <w:t xml:space="preserve">Caltrain </w:t>
      </w:r>
      <w:r w:rsidR="00B9560C">
        <w:rPr>
          <w:rFonts w:ascii="Century Gothic" w:hAnsi="Century Gothic"/>
          <w:sz w:val="22"/>
          <w:szCs w:val="22"/>
        </w:rPr>
        <w:t>with</w:t>
      </w:r>
      <w:r>
        <w:rPr>
          <w:rFonts w:ascii="Century Gothic" w:hAnsi="Century Gothic"/>
          <w:sz w:val="22"/>
          <w:szCs w:val="22"/>
        </w:rPr>
        <w:t xml:space="preserve"> </w:t>
      </w:r>
      <w:r w:rsidR="002C047C">
        <w:rPr>
          <w:rFonts w:ascii="Century Gothic" w:hAnsi="Century Gothic"/>
          <w:sz w:val="22"/>
          <w:szCs w:val="22"/>
        </w:rPr>
        <w:t>$1 million</w:t>
      </w:r>
      <w:r w:rsidR="002C047C" w:rsidRPr="002C047C">
        <w:rPr>
          <w:rFonts w:ascii="Century Gothic" w:hAnsi="Century Gothic"/>
          <w:sz w:val="22"/>
          <w:szCs w:val="22"/>
        </w:rPr>
        <w:t xml:space="preserve"> to conduct ongoing maintenance and </w:t>
      </w:r>
      <w:r w:rsidR="002C047C">
        <w:rPr>
          <w:rFonts w:ascii="Century Gothic" w:hAnsi="Century Gothic"/>
          <w:sz w:val="22"/>
          <w:szCs w:val="22"/>
        </w:rPr>
        <w:t xml:space="preserve">rehabilitation of </w:t>
      </w:r>
      <w:r w:rsidR="00905CEE">
        <w:rPr>
          <w:rFonts w:ascii="Century Gothic" w:hAnsi="Century Gothic"/>
          <w:sz w:val="22"/>
          <w:szCs w:val="22"/>
        </w:rPr>
        <w:t>Caltrain</w:t>
      </w:r>
      <w:r w:rsidR="002C047C">
        <w:rPr>
          <w:rFonts w:ascii="Century Gothic" w:hAnsi="Century Gothic"/>
          <w:sz w:val="22"/>
          <w:szCs w:val="22"/>
        </w:rPr>
        <w:t xml:space="preserve"> rail cars;</w:t>
      </w:r>
      <w:r w:rsidR="002C047C" w:rsidRPr="002C047C">
        <w:rPr>
          <w:rFonts w:ascii="Century Gothic" w:hAnsi="Century Gothic"/>
          <w:sz w:val="22"/>
          <w:szCs w:val="22"/>
        </w:rPr>
        <w:t xml:space="preserve"> $1 million for grade crossing improvements to enhance operat</w:t>
      </w:r>
      <w:r w:rsidR="00905CEE">
        <w:rPr>
          <w:rFonts w:ascii="Century Gothic" w:hAnsi="Century Gothic"/>
          <w:sz w:val="22"/>
          <w:szCs w:val="22"/>
        </w:rPr>
        <w:t xml:space="preserve">ional and schedule flexibility; </w:t>
      </w:r>
      <w:r w:rsidR="00066071">
        <w:rPr>
          <w:rFonts w:ascii="Century Gothic" w:hAnsi="Century Gothic"/>
          <w:sz w:val="22"/>
          <w:szCs w:val="22"/>
        </w:rPr>
        <w:t xml:space="preserve">and </w:t>
      </w:r>
      <w:r w:rsidR="002C047C" w:rsidRPr="002C047C">
        <w:rPr>
          <w:rFonts w:ascii="Century Gothic" w:hAnsi="Century Gothic"/>
          <w:sz w:val="22"/>
          <w:szCs w:val="22"/>
        </w:rPr>
        <w:t>$500,000 for the</w:t>
      </w:r>
      <w:r w:rsidR="002C047C">
        <w:rPr>
          <w:rFonts w:ascii="Century Gothic" w:hAnsi="Century Gothic"/>
          <w:sz w:val="22"/>
          <w:szCs w:val="22"/>
        </w:rPr>
        <w:t xml:space="preserve"> Caltrain Bike Parking Program</w:t>
      </w:r>
      <w:r w:rsidR="00572B5D">
        <w:rPr>
          <w:rFonts w:ascii="Century Gothic" w:hAnsi="Century Gothic"/>
          <w:sz w:val="22"/>
          <w:szCs w:val="22"/>
        </w:rPr>
        <w:t>;</w:t>
      </w:r>
      <w:r w:rsidR="00572B5D" w:rsidRPr="00572B5D">
        <w:rPr>
          <w:rFonts w:ascii="Century Gothic" w:hAnsi="Century Gothic"/>
          <w:sz w:val="22"/>
          <w:szCs w:val="22"/>
        </w:rPr>
        <w:t xml:space="preserve"> </w:t>
      </w:r>
      <w:r w:rsidR="00572B5D">
        <w:rPr>
          <w:rFonts w:ascii="Century Gothic" w:hAnsi="Century Gothic"/>
          <w:sz w:val="22"/>
          <w:szCs w:val="22"/>
        </w:rPr>
        <w:t>and,</w:t>
      </w:r>
    </w:p>
    <w:p w14:paraId="3D45881F" w14:textId="7D51E510" w:rsidR="00FF1DAD" w:rsidRDefault="002C047C" w:rsidP="00905CEE">
      <w:pPr>
        <w:keepLines/>
        <w:tabs>
          <w:tab w:val="left" w:pos="-720"/>
        </w:tabs>
        <w:suppressAutoHyphens/>
        <w:spacing w:line="360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WHEREAS, </w:t>
      </w:r>
      <w:r w:rsidRPr="002C047C">
        <w:rPr>
          <w:rFonts w:ascii="Century Gothic" w:hAnsi="Century Gothic"/>
          <w:sz w:val="22"/>
          <w:szCs w:val="22"/>
        </w:rPr>
        <w:t xml:space="preserve">Caltrain </w:t>
      </w:r>
      <w:r w:rsidR="00B9560C">
        <w:rPr>
          <w:rFonts w:ascii="Century Gothic" w:hAnsi="Century Gothic"/>
          <w:sz w:val="22"/>
          <w:szCs w:val="22"/>
        </w:rPr>
        <w:t xml:space="preserve">also </w:t>
      </w:r>
      <w:r w:rsidR="00066071">
        <w:rPr>
          <w:rFonts w:ascii="Century Gothic" w:hAnsi="Century Gothic"/>
          <w:sz w:val="22"/>
          <w:szCs w:val="22"/>
        </w:rPr>
        <w:t xml:space="preserve">has been </w:t>
      </w:r>
      <w:r w:rsidR="00B9560C">
        <w:rPr>
          <w:rFonts w:ascii="Century Gothic" w:hAnsi="Century Gothic"/>
          <w:sz w:val="22"/>
          <w:szCs w:val="22"/>
        </w:rPr>
        <w:t xml:space="preserve">awarded </w:t>
      </w:r>
      <w:r>
        <w:rPr>
          <w:rFonts w:ascii="Century Gothic" w:hAnsi="Century Gothic"/>
          <w:sz w:val="22"/>
          <w:szCs w:val="22"/>
        </w:rPr>
        <w:t xml:space="preserve">$164 million in </w:t>
      </w:r>
      <w:r w:rsidRPr="002C047C">
        <w:rPr>
          <w:rFonts w:ascii="Century Gothic" w:hAnsi="Century Gothic"/>
          <w:sz w:val="22"/>
          <w:szCs w:val="22"/>
        </w:rPr>
        <w:t xml:space="preserve">funding </w:t>
      </w:r>
      <w:r w:rsidR="00905CEE">
        <w:rPr>
          <w:rFonts w:ascii="Century Gothic" w:hAnsi="Century Gothic"/>
          <w:sz w:val="22"/>
          <w:szCs w:val="22"/>
        </w:rPr>
        <w:t>from S</w:t>
      </w:r>
      <w:r w:rsidR="00066071">
        <w:rPr>
          <w:rFonts w:ascii="Century Gothic" w:hAnsi="Century Gothic"/>
          <w:sz w:val="22"/>
          <w:szCs w:val="22"/>
        </w:rPr>
        <w:t>.</w:t>
      </w:r>
      <w:r w:rsidR="00905CEE">
        <w:rPr>
          <w:rFonts w:ascii="Century Gothic" w:hAnsi="Century Gothic"/>
          <w:sz w:val="22"/>
          <w:szCs w:val="22"/>
        </w:rPr>
        <w:t>B</w:t>
      </w:r>
      <w:r w:rsidR="00066071">
        <w:rPr>
          <w:rFonts w:ascii="Century Gothic" w:hAnsi="Century Gothic"/>
          <w:sz w:val="22"/>
          <w:szCs w:val="22"/>
        </w:rPr>
        <w:t>.</w:t>
      </w:r>
      <w:r w:rsidR="00905CEE">
        <w:rPr>
          <w:rFonts w:ascii="Century Gothic" w:hAnsi="Century Gothic"/>
          <w:sz w:val="22"/>
          <w:szCs w:val="22"/>
        </w:rPr>
        <w:t xml:space="preserve"> 1 </w:t>
      </w:r>
      <w:r>
        <w:rPr>
          <w:rFonts w:ascii="Century Gothic" w:hAnsi="Century Gothic"/>
          <w:sz w:val="22"/>
          <w:szCs w:val="22"/>
        </w:rPr>
        <w:t xml:space="preserve">to </w:t>
      </w:r>
      <w:r w:rsidR="00572B5D">
        <w:rPr>
          <w:rFonts w:ascii="Century Gothic" w:hAnsi="Century Gothic"/>
          <w:sz w:val="22"/>
          <w:szCs w:val="22"/>
        </w:rPr>
        <w:t xml:space="preserve">fully electrify </w:t>
      </w:r>
      <w:r w:rsidR="00B9560C">
        <w:rPr>
          <w:rFonts w:ascii="Century Gothic" w:hAnsi="Century Gothic"/>
          <w:sz w:val="22"/>
          <w:szCs w:val="22"/>
        </w:rPr>
        <w:t>Caltrain’s mainline service</w:t>
      </w:r>
      <w:r w:rsidR="00572B5D">
        <w:rPr>
          <w:rFonts w:ascii="Century Gothic" w:hAnsi="Century Gothic"/>
          <w:sz w:val="22"/>
          <w:szCs w:val="22"/>
        </w:rPr>
        <w:t xml:space="preserve">, provide </w:t>
      </w:r>
      <w:r w:rsidR="00B9560C">
        <w:rPr>
          <w:rFonts w:ascii="Century Gothic" w:hAnsi="Century Gothic"/>
          <w:sz w:val="22"/>
          <w:szCs w:val="22"/>
        </w:rPr>
        <w:t xml:space="preserve">onboard </w:t>
      </w:r>
      <w:r w:rsidRPr="002C047C">
        <w:rPr>
          <w:rFonts w:ascii="Century Gothic" w:hAnsi="Century Gothic"/>
          <w:sz w:val="22"/>
          <w:szCs w:val="22"/>
        </w:rPr>
        <w:t>Wi-Fi and</w:t>
      </w:r>
      <w:r w:rsidR="00572B5D">
        <w:rPr>
          <w:rFonts w:ascii="Century Gothic" w:hAnsi="Century Gothic"/>
          <w:sz w:val="22"/>
          <w:szCs w:val="22"/>
        </w:rPr>
        <w:t xml:space="preserve"> enhanced</w:t>
      </w:r>
      <w:r w:rsidRPr="002C047C">
        <w:rPr>
          <w:rFonts w:ascii="Century Gothic" w:hAnsi="Century Gothic"/>
          <w:sz w:val="22"/>
          <w:szCs w:val="22"/>
        </w:rPr>
        <w:t xml:space="preserve"> bicycle facilities, </w:t>
      </w:r>
      <w:r w:rsidR="00572B5D">
        <w:rPr>
          <w:rFonts w:ascii="Century Gothic" w:hAnsi="Century Gothic"/>
          <w:sz w:val="22"/>
          <w:szCs w:val="22"/>
        </w:rPr>
        <w:t>lengthen platforms to accommodate longer trains, and complete the Caltrain Business Plan;</w:t>
      </w:r>
      <w:r w:rsidR="00572B5D" w:rsidRPr="00572B5D">
        <w:rPr>
          <w:rFonts w:ascii="Century Gothic" w:hAnsi="Century Gothic"/>
          <w:sz w:val="22"/>
          <w:szCs w:val="22"/>
        </w:rPr>
        <w:t xml:space="preserve"> </w:t>
      </w:r>
      <w:r w:rsidR="00572B5D">
        <w:rPr>
          <w:rFonts w:ascii="Century Gothic" w:hAnsi="Century Gothic"/>
          <w:sz w:val="22"/>
          <w:szCs w:val="22"/>
        </w:rPr>
        <w:t>and,</w:t>
      </w:r>
      <w:r w:rsidRPr="002C047C">
        <w:rPr>
          <w:rFonts w:ascii="Century Gothic" w:hAnsi="Century Gothic"/>
          <w:sz w:val="22"/>
          <w:szCs w:val="22"/>
        </w:rPr>
        <w:t xml:space="preserve"> </w:t>
      </w:r>
    </w:p>
    <w:p w14:paraId="2F83D15F" w14:textId="77777777" w:rsidR="00F31468" w:rsidRDefault="00F31468" w:rsidP="00F31468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WHEREAS, </w:t>
      </w:r>
      <w:r w:rsidRPr="002C047C">
        <w:rPr>
          <w:rFonts w:ascii="Century Gothic" w:hAnsi="Century Gothic"/>
          <w:sz w:val="22"/>
          <w:szCs w:val="22"/>
        </w:rPr>
        <w:t xml:space="preserve">Proposition 6 is a </w:t>
      </w:r>
      <w:r>
        <w:rPr>
          <w:rFonts w:ascii="Century Gothic" w:hAnsi="Century Gothic"/>
          <w:sz w:val="22"/>
          <w:szCs w:val="22"/>
        </w:rPr>
        <w:t xml:space="preserve">statewide </w:t>
      </w:r>
      <w:r w:rsidRPr="002C047C">
        <w:rPr>
          <w:rFonts w:ascii="Century Gothic" w:hAnsi="Century Gothic"/>
          <w:sz w:val="22"/>
          <w:szCs w:val="22"/>
        </w:rPr>
        <w:t xml:space="preserve">measure </w:t>
      </w:r>
      <w:r>
        <w:rPr>
          <w:rFonts w:ascii="Century Gothic" w:hAnsi="Century Gothic"/>
          <w:sz w:val="22"/>
          <w:szCs w:val="22"/>
        </w:rPr>
        <w:t xml:space="preserve">that will be placed on the </w:t>
      </w:r>
      <w:r w:rsidRPr="002C047C">
        <w:rPr>
          <w:rFonts w:ascii="Century Gothic" w:hAnsi="Century Gothic"/>
          <w:sz w:val="22"/>
          <w:szCs w:val="22"/>
        </w:rPr>
        <w:t xml:space="preserve">November </w:t>
      </w:r>
      <w:r>
        <w:rPr>
          <w:rFonts w:ascii="Century Gothic" w:hAnsi="Century Gothic"/>
          <w:sz w:val="22"/>
          <w:szCs w:val="22"/>
        </w:rPr>
        <w:t xml:space="preserve">6th, </w:t>
      </w:r>
      <w:r w:rsidRPr="002C047C">
        <w:rPr>
          <w:rFonts w:ascii="Century Gothic" w:hAnsi="Century Gothic"/>
          <w:sz w:val="22"/>
          <w:szCs w:val="22"/>
        </w:rPr>
        <w:t>2018 ballot ask</w:t>
      </w:r>
      <w:r>
        <w:rPr>
          <w:rFonts w:ascii="Century Gothic" w:hAnsi="Century Gothic"/>
          <w:sz w:val="22"/>
          <w:szCs w:val="22"/>
        </w:rPr>
        <w:t>ing</w:t>
      </w:r>
      <w:r w:rsidRPr="002C047C">
        <w:rPr>
          <w:rFonts w:ascii="Century Gothic" w:hAnsi="Century Gothic"/>
          <w:sz w:val="22"/>
          <w:szCs w:val="22"/>
        </w:rPr>
        <w:t xml:space="preserve"> voters to repeal </w:t>
      </w:r>
      <w:r>
        <w:rPr>
          <w:rFonts w:ascii="Century Gothic" w:hAnsi="Century Gothic"/>
          <w:sz w:val="22"/>
          <w:szCs w:val="22"/>
        </w:rPr>
        <w:t>S.B. 1;</w:t>
      </w:r>
      <w:r w:rsidRPr="00572B5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and,</w:t>
      </w:r>
    </w:p>
    <w:p w14:paraId="6F04079E" w14:textId="24D2DA59" w:rsidR="00905CEE" w:rsidRPr="00905CEE" w:rsidRDefault="00905CEE" w:rsidP="005D7C8C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WHEREAS, </w:t>
      </w:r>
      <w:r>
        <w:rPr>
          <w:rFonts w:ascii="Century Gothic" w:hAnsi="Century Gothic"/>
          <w:sz w:val="22"/>
          <w:szCs w:val="22"/>
        </w:rPr>
        <w:t xml:space="preserve">the passage of Proposition 6 would </w:t>
      </w:r>
      <w:r w:rsidR="00066071">
        <w:rPr>
          <w:rFonts w:ascii="Century Gothic" w:hAnsi="Century Gothic"/>
          <w:sz w:val="22"/>
          <w:szCs w:val="22"/>
        </w:rPr>
        <w:t xml:space="preserve">jeopardize </w:t>
      </w:r>
      <w:r>
        <w:rPr>
          <w:rFonts w:ascii="Century Gothic" w:hAnsi="Century Gothic"/>
          <w:sz w:val="22"/>
          <w:szCs w:val="22"/>
        </w:rPr>
        <w:t xml:space="preserve">the funding </w:t>
      </w:r>
      <w:r w:rsidR="00066071">
        <w:rPr>
          <w:rFonts w:ascii="Century Gothic" w:hAnsi="Century Gothic"/>
          <w:sz w:val="22"/>
          <w:szCs w:val="22"/>
        </w:rPr>
        <w:t xml:space="preserve">needed for </w:t>
      </w:r>
      <w:r>
        <w:rPr>
          <w:rFonts w:ascii="Century Gothic" w:hAnsi="Century Gothic"/>
          <w:sz w:val="22"/>
          <w:szCs w:val="22"/>
        </w:rPr>
        <w:t xml:space="preserve">execution of the </w:t>
      </w:r>
      <w:r w:rsidR="00F31468">
        <w:rPr>
          <w:rFonts w:ascii="Century Gothic" w:hAnsi="Century Gothic"/>
          <w:sz w:val="22"/>
          <w:szCs w:val="22"/>
        </w:rPr>
        <w:t xml:space="preserve">Caltrain </w:t>
      </w:r>
      <w:r>
        <w:rPr>
          <w:rFonts w:ascii="Century Gothic" w:hAnsi="Century Gothic"/>
          <w:sz w:val="22"/>
          <w:szCs w:val="22"/>
        </w:rPr>
        <w:t>projects</w:t>
      </w:r>
      <w:r w:rsidR="00F31468">
        <w:rPr>
          <w:rFonts w:ascii="Century Gothic" w:hAnsi="Century Gothic"/>
          <w:sz w:val="22"/>
          <w:szCs w:val="22"/>
        </w:rPr>
        <w:t xml:space="preserve"> listed above</w:t>
      </w:r>
      <w:r w:rsidR="00D13B88">
        <w:rPr>
          <w:rFonts w:ascii="Century Gothic" w:hAnsi="Century Gothic"/>
          <w:sz w:val="22"/>
          <w:szCs w:val="22"/>
        </w:rPr>
        <w:t xml:space="preserve"> and deprive Californians of resources now available from S</w:t>
      </w:r>
      <w:r w:rsidR="00652272">
        <w:rPr>
          <w:rFonts w:ascii="Century Gothic" w:hAnsi="Century Gothic"/>
          <w:sz w:val="22"/>
          <w:szCs w:val="22"/>
        </w:rPr>
        <w:t>.</w:t>
      </w:r>
      <w:r w:rsidR="00D13B88">
        <w:rPr>
          <w:rFonts w:ascii="Century Gothic" w:hAnsi="Century Gothic"/>
          <w:sz w:val="22"/>
          <w:szCs w:val="22"/>
        </w:rPr>
        <w:t>B</w:t>
      </w:r>
      <w:r w:rsidR="00652272">
        <w:rPr>
          <w:rFonts w:ascii="Century Gothic" w:hAnsi="Century Gothic"/>
          <w:sz w:val="22"/>
          <w:szCs w:val="22"/>
        </w:rPr>
        <w:t>.</w:t>
      </w:r>
      <w:r w:rsidR="00D13B88">
        <w:rPr>
          <w:rFonts w:ascii="Century Gothic" w:hAnsi="Century Gothic"/>
          <w:sz w:val="22"/>
          <w:szCs w:val="22"/>
        </w:rPr>
        <w:t>1 for much needed improvements in transportation infrastructure and transit systems statewide</w:t>
      </w:r>
      <w:r w:rsidR="0006607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8A53E00" w14:textId="05C86B48" w:rsidR="0024682A" w:rsidRDefault="00066071" w:rsidP="0024682A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NOW, THEREFORE </w:t>
      </w:r>
      <w:r w:rsidR="00FC53C8">
        <w:rPr>
          <w:rFonts w:ascii="Century Gothic" w:hAnsi="Century Gothic"/>
          <w:b/>
          <w:sz w:val="22"/>
          <w:szCs w:val="22"/>
        </w:rPr>
        <w:t>BE IT RESOLVED</w:t>
      </w:r>
      <w:r w:rsidR="0024682A">
        <w:rPr>
          <w:rFonts w:ascii="Century Gothic" w:hAnsi="Century Gothic"/>
          <w:b/>
          <w:sz w:val="22"/>
          <w:szCs w:val="22"/>
        </w:rPr>
        <w:t>,</w:t>
      </w:r>
      <w:r w:rsidR="00FC53C8">
        <w:rPr>
          <w:rFonts w:ascii="Century Gothic" w:hAnsi="Century Gothic"/>
          <w:sz w:val="22"/>
          <w:szCs w:val="22"/>
        </w:rPr>
        <w:t xml:space="preserve"> that the </w:t>
      </w:r>
      <w:r w:rsidR="0024682A">
        <w:rPr>
          <w:rFonts w:ascii="Century Gothic" w:hAnsi="Century Gothic"/>
          <w:sz w:val="22"/>
          <w:szCs w:val="22"/>
        </w:rPr>
        <w:t xml:space="preserve">Peninsula Corridor Joint Powers </w:t>
      </w:r>
      <w:r w:rsidR="00FC53C8">
        <w:rPr>
          <w:rFonts w:ascii="Century Gothic" w:hAnsi="Century Gothic"/>
          <w:sz w:val="22"/>
          <w:szCs w:val="22"/>
        </w:rPr>
        <w:t xml:space="preserve">Board </w:t>
      </w:r>
      <w:r w:rsidR="00F31468">
        <w:rPr>
          <w:rFonts w:ascii="Century Gothic" w:hAnsi="Century Gothic"/>
          <w:sz w:val="22"/>
          <w:szCs w:val="22"/>
        </w:rPr>
        <w:t xml:space="preserve">strenuously </w:t>
      </w:r>
      <w:r w:rsidR="0024682A">
        <w:rPr>
          <w:rFonts w:ascii="Century Gothic" w:hAnsi="Century Gothic"/>
          <w:sz w:val="22"/>
          <w:szCs w:val="22"/>
        </w:rPr>
        <w:t>opposes Pr</w:t>
      </w:r>
      <w:r w:rsidR="005C2F53">
        <w:rPr>
          <w:rFonts w:ascii="Century Gothic" w:hAnsi="Century Gothic"/>
          <w:sz w:val="22"/>
          <w:szCs w:val="22"/>
        </w:rPr>
        <w:t>oposition 6</w:t>
      </w:r>
      <w:r>
        <w:rPr>
          <w:rFonts w:ascii="Century Gothic" w:hAnsi="Century Gothic"/>
          <w:sz w:val="22"/>
          <w:szCs w:val="22"/>
        </w:rPr>
        <w:t>,</w:t>
      </w:r>
      <w:r w:rsidR="005C2F53">
        <w:rPr>
          <w:rFonts w:ascii="Century Gothic" w:hAnsi="Century Gothic"/>
          <w:sz w:val="22"/>
          <w:szCs w:val="22"/>
        </w:rPr>
        <w:t xml:space="preserve"> </w:t>
      </w:r>
      <w:r w:rsidR="0024682A">
        <w:rPr>
          <w:rFonts w:ascii="Century Gothic" w:hAnsi="Century Gothic"/>
          <w:sz w:val="22"/>
          <w:szCs w:val="22"/>
        </w:rPr>
        <w:t>which would repeal S</w:t>
      </w:r>
      <w:r>
        <w:rPr>
          <w:rFonts w:ascii="Century Gothic" w:hAnsi="Century Gothic"/>
          <w:sz w:val="22"/>
          <w:szCs w:val="22"/>
        </w:rPr>
        <w:t>.</w:t>
      </w:r>
      <w:r w:rsidR="0024682A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>.</w:t>
      </w:r>
      <w:r w:rsidR="0024682A">
        <w:rPr>
          <w:rFonts w:ascii="Century Gothic" w:hAnsi="Century Gothic"/>
          <w:sz w:val="22"/>
          <w:szCs w:val="22"/>
        </w:rPr>
        <w:t xml:space="preserve"> </w:t>
      </w:r>
      <w:r w:rsidR="00905CEE">
        <w:rPr>
          <w:rFonts w:ascii="Century Gothic" w:hAnsi="Century Gothic"/>
          <w:sz w:val="22"/>
          <w:szCs w:val="22"/>
        </w:rPr>
        <w:t xml:space="preserve">1, the </w:t>
      </w:r>
      <w:r w:rsidR="00F31468">
        <w:rPr>
          <w:rFonts w:ascii="Century Gothic" w:hAnsi="Century Gothic"/>
          <w:sz w:val="22"/>
          <w:szCs w:val="22"/>
        </w:rPr>
        <w:t>"</w:t>
      </w:r>
      <w:r w:rsidR="00572B5D" w:rsidRPr="002C047C">
        <w:rPr>
          <w:rFonts w:ascii="Century Gothic" w:hAnsi="Century Gothic"/>
          <w:sz w:val="22"/>
          <w:szCs w:val="22"/>
        </w:rPr>
        <w:t>Road Repair and Accountability Act</w:t>
      </w:r>
      <w:r w:rsidR="00F31468">
        <w:rPr>
          <w:rFonts w:ascii="Century Gothic" w:hAnsi="Century Gothic"/>
          <w:sz w:val="22"/>
          <w:szCs w:val="22"/>
        </w:rPr>
        <w:t>"</w:t>
      </w:r>
      <w:r w:rsidR="0024682A">
        <w:rPr>
          <w:rFonts w:ascii="Century Gothic" w:hAnsi="Century Gothic"/>
          <w:sz w:val="22"/>
          <w:szCs w:val="22"/>
        </w:rPr>
        <w:t>; and,</w:t>
      </w:r>
    </w:p>
    <w:p w14:paraId="46483461" w14:textId="5776CC27" w:rsidR="00066071" w:rsidRDefault="0024682A" w:rsidP="0024682A">
      <w:pPr>
        <w:pStyle w:val="recitals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BE IT FURTHER RESOLVED, </w:t>
      </w:r>
      <w:r w:rsidR="00F535BA" w:rsidRPr="00F535BA">
        <w:rPr>
          <w:rFonts w:ascii="Century Gothic" w:hAnsi="Century Gothic"/>
          <w:sz w:val="22"/>
          <w:szCs w:val="22"/>
        </w:rPr>
        <w:t>that the Peninsula Corridor Joint Powers Board affirms its membership in the Coalition to Protect Local Transportation Improvements, a diverse coalition of local government, business, labor, transportation, and other organizations throughout the State that also are</w:t>
      </w:r>
      <w:r w:rsidR="00F535BA">
        <w:rPr>
          <w:rFonts w:ascii="Century Gothic" w:hAnsi="Century Gothic"/>
          <w:sz w:val="22"/>
          <w:szCs w:val="22"/>
        </w:rPr>
        <w:t xml:space="preserve"> opposed to the repeal of S.B. 1.</w:t>
      </w:r>
      <w:r w:rsidR="00066071">
        <w:rPr>
          <w:rFonts w:ascii="Century Gothic" w:hAnsi="Century Gothic"/>
          <w:sz w:val="22"/>
          <w:szCs w:val="22"/>
        </w:rPr>
        <w:t xml:space="preserve">; </w:t>
      </w:r>
    </w:p>
    <w:p w14:paraId="504A9F19" w14:textId="77777777" w:rsidR="00FF1DAD" w:rsidRDefault="00FC53C8" w:rsidP="005D7C8C">
      <w:pPr>
        <w:pStyle w:val="recitals"/>
        <w:keepNext/>
        <w:keepLines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Regularly passed and adopted this </w:t>
      </w:r>
      <w:r w:rsidR="00905CEE" w:rsidRPr="00066071">
        <w:rPr>
          <w:rFonts w:ascii="Century Gothic" w:hAnsi="Century Gothic"/>
          <w:sz w:val="22"/>
          <w:szCs w:val="22"/>
        </w:rPr>
        <w:t>2</w:t>
      </w:r>
      <w:r w:rsidR="00905CEE" w:rsidRPr="00066071">
        <w:rPr>
          <w:rFonts w:ascii="Century Gothic" w:hAnsi="Century Gothic"/>
          <w:sz w:val="22"/>
          <w:szCs w:val="22"/>
          <w:vertAlign w:val="superscript"/>
        </w:rPr>
        <w:t>nd</w:t>
      </w:r>
      <w:r w:rsidRPr="001443E2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="00905CEE" w:rsidRPr="001443E2">
        <w:rPr>
          <w:rFonts w:ascii="Century Gothic" w:hAnsi="Century Gothic"/>
          <w:sz w:val="22"/>
          <w:szCs w:val="22"/>
        </w:rPr>
        <w:t xml:space="preserve">day of August 2018, </w:t>
      </w:r>
      <w:r>
        <w:rPr>
          <w:rFonts w:ascii="Century Gothic" w:hAnsi="Century Gothic"/>
          <w:sz w:val="22"/>
          <w:szCs w:val="22"/>
        </w:rPr>
        <w:t>by the following vote: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845"/>
      </w:tblGrid>
      <w:tr w:rsidR="00FF1DAD" w14:paraId="4830FD50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59C65D32" w14:textId="77777777" w:rsidR="00FF1DAD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AYES:  </w:t>
            </w:r>
          </w:p>
        </w:tc>
        <w:tc>
          <w:tcPr>
            <w:tcW w:w="4968" w:type="dxa"/>
            <w:shd w:val="clear" w:color="auto" w:fill="auto"/>
          </w:tcPr>
          <w:p w14:paraId="29F21C36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5AB2CFE6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1A72BAA9" w14:textId="77777777" w:rsidR="00FF1DAD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NOES:  </w:t>
            </w:r>
          </w:p>
        </w:tc>
        <w:tc>
          <w:tcPr>
            <w:tcW w:w="4968" w:type="dxa"/>
            <w:shd w:val="clear" w:color="auto" w:fill="auto"/>
          </w:tcPr>
          <w:p w14:paraId="3E6F9BA5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6890F668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18DE84EC" w14:textId="77777777" w:rsidR="00FF1DAD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ABSENT:  </w:t>
            </w:r>
          </w:p>
        </w:tc>
        <w:tc>
          <w:tcPr>
            <w:tcW w:w="4968" w:type="dxa"/>
            <w:shd w:val="clear" w:color="auto" w:fill="auto"/>
          </w:tcPr>
          <w:p w14:paraId="2B9E0776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690886DA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1C49EAFF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5AC8EBBD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657A8978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072A4732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BF9EF26" w14:textId="77777777" w:rsidR="00FC53C8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3E588887" w14:textId="77777777" w:rsidR="00FF1DAD" w:rsidRDefault="00FC53C8">
            <w:pPr>
              <w:keepNext/>
              <w:keepLines/>
              <w:spacing w:line="48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Chair, Peninsula Corridor Joint Powers Board</w:t>
            </w:r>
          </w:p>
        </w:tc>
      </w:tr>
      <w:tr w:rsidR="00FF1DAD" w14:paraId="337CDE14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28F8A60C" w14:textId="77777777" w:rsidR="00FF1DAD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ATTEST:  </w:t>
            </w:r>
          </w:p>
        </w:tc>
        <w:tc>
          <w:tcPr>
            <w:tcW w:w="4968" w:type="dxa"/>
            <w:shd w:val="clear" w:color="auto" w:fill="auto"/>
          </w:tcPr>
          <w:p w14:paraId="6606F1F3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5ECFA506" w14:textId="77777777">
        <w:trPr>
          <w:cantSplit/>
          <w:trHeight w:val="20"/>
        </w:trPr>
        <w:tc>
          <w:tcPr>
            <w:tcW w:w="4608" w:type="dxa"/>
            <w:shd w:val="clear" w:color="auto" w:fill="auto"/>
          </w:tcPr>
          <w:p w14:paraId="58608732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A2F7284" w14:textId="77777777" w:rsidR="00FC53C8" w:rsidRDefault="00FC53C8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14:paraId="5948F443" w14:textId="77777777" w:rsidR="00FF1DAD" w:rsidRDefault="00FF1DAD">
            <w:pPr>
              <w:keepNext/>
              <w:keepLines/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1DAD" w14:paraId="2E4D7291" w14:textId="77777777">
        <w:trPr>
          <w:cantSplit/>
          <w:trHeight w:val="2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5EFACC97" w14:textId="77777777" w:rsidR="00FF1DAD" w:rsidRDefault="00FC53C8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JPB Secretary</w:t>
            </w:r>
          </w:p>
        </w:tc>
        <w:tc>
          <w:tcPr>
            <w:tcW w:w="4968" w:type="dxa"/>
            <w:shd w:val="clear" w:color="auto" w:fill="auto"/>
          </w:tcPr>
          <w:p w14:paraId="5687AEE5" w14:textId="77777777" w:rsidR="00FF1DAD" w:rsidRDefault="00FF1DAD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C30E350" w14:textId="77777777" w:rsidR="00FF1DAD" w:rsidRDefault="00FF1DAD">
      <w:pPr>
        <w:pStyle w:val="Header"/>
        <w:tabs>
          <w:tab w:val="clear" w:pos="4320"/>
          <w:tab w:val="clear" w:pos="8640"/>
        </w:tabs>
        <w:suppressAutoHyphens/>
        <w:rPr>
          <w:rFonts w:ascii="Century Gothic" w:hAnsi="Century Gothic"/>
          <w:noProof/>
          <w:sz w:val="22"/>
          <w:szCs w:val="22"/>
        </w:rPr>
      </w:pPr>
    </w:p>
    <w:sectPr w:rsidR="00FF1DA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03A1" w14:textId="77777777" w:rsidR="0071575C" w:rsidRDefault="0071575C">
      <w:r>
        <w:separator/>
      </w:r>
    </w:p>
  </w:endnote>
  <w:endnote w:type="continuationSeparator" w:id="0">
    <w:p w14:paraId="1BCD87CC" w14:textId="77777777" w:rsidR="0071575C" w:rsidRDefault="0071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7338" w14:textId="7C7FDDB8" w:rsidR="00FF1DAD" w:rsidRPr="00FC53C8" w:rsidRDefault="00FC53C8">
    <w:pPr>
      <w:pStyle w:val="Footer"/>
      <w:spacing w:line="200" w:lineRule="exact"/>
      <w:jc w:val="center"/>
      <w:rPr>
        <w:rStyle w:val="PageNumber"/>
        <w:rFonts w:ascii="Century Gothic" w:hAnsi="Century Gothic"/>
        <w:sz w:val="14"/>
        <w:szCs w:val="14"/>
      </w:rPr>
    </w:pPr>
    <w:r w:rsidRPr="00FC53C8">
      <w:rPr>
        <w:rStyle w:val="PageNumber"/>
        <w:rFonts w:ascii="Century Gothic" w:hAnsi="Century Gothic"/>
        <w:sz w:val="14"/>
        <w:szCs w:val="14"/>
      </w:rPr>
      <w:t xml:space="preserve">Page </w:t>
    </w:r>
    <w:r w:rsidRPr="00FC53C8">
      <w:rPr>
        <w:rStyle w:val="PageNumber"/>
        <w:rFonts w:ascii="Century Gothic" w:hAnsi="Century Gothic"/>
        <w:sz w:val="14"/>
        <w:szCs w:val="14"/>
      </w:rPr>
      <w:fldChar w:fldCharType="begin"/>
    </w:r>
    <w:r w:rsidRPr="00FC53C8">
      <w:rPr>
        <w:rStyle w:val="PageNumber"/>
        <w:rFonts w:ascii="Century Gothic" w:hAnsi="Century Gothic"/>
        <w:sz w:val="14"/>
        <w:szCs w:val="14"/>
      </w:rPr>
      <w:instrText xml:space="preserve"> PAGE </w:instrText>
    </w:r>
    <w:r w:rsidRPr="00FC53C8">
      <w:rPr>
        <w:rStyle w:val="PageNumber"/>
        <w:rFonts w:ascii="Century Gothic" w:hAnsi="Century Gothic"/>
        <w:sz w:val="14"/>
        <w:szCs w:val="14"/>
      </w:rPr>
      <w:fldChar w:fldCharType="separate"/>
    </w:r>
    <w:r w:rsidR="00331217">
      <w:rPr>
        <w:rStyle w:val="PageNumber"/>
        <w:rFonts w:ascii="Century Gothic" w:hAnsi="Century Gothic"/>
        <w:noProof/>
        <w:sz w:val="14"/>
        <w:szCs w:val="14"/>
      </w:rPr>
      <w:t>1</w:t>
    </w:r>
    <w:r w:rsidRPr="00FC53C8">
      <w:rPr>
        <w:rStyle w:val="PageNumber"/>
        <w:rFonts w:ascii="Century Gothic" w:hAnsi="Century Gothic"/>
        <w:sz w:val="14"/>
        <w:szCs w:val="14"/>
      </w:rPr>
      <w:fldChar w:fldCharType="end"/>
    </w:r>
    <w:r w:rsidRPr="00FC53C8">
      <w:rPr>
        <w:rStyle w:val="PageNumber"/>
        <w:rFonts w:ascii="Century Gothic" w:hAnsi="Century Gothic"/>
        <w:sz w:val="14"/>
        <w:szCs w:val="14"/>
      </w:rPr>
      <w:t xml:space="preserve"> of </w:t>
    </w:r>
    <w:r w:rsidRPr="00FC53C8">
      <w:rPr>
        <w:rStyle w:val="PageNumber"/>
        <w:rFonts w:ascii="Century Gothic" w:hAnsi="Century Gothic"/>
        <w:sz w:val="14"/>
        <w:szCs w:val="14"/>
      </w:rPr>
      <w:fldChar w:fldCharType="begin"/>
    </w:r>
    <w:r w:rsidRPr="00FC53C8">
      <w:rPr>
        <w:rStyle w:val="PageNumber"/>
        <w:rFonts w:ascii="Century Gothic" w:hAnsi="Century Gothic"/>
        <w:sz w:val="14"/>
        <w:szCs w:val="14"/>
      </w:rPr>
      <w:instrText xml:space="preserve"> NUMPAGES </w:instrText>
    </w:r>
    <w:r w:rsidRPr="00FC53C8">
      <w:rPr>
        <w:rStyle w:val="PageNumber"/>
        <w:rFonts w:ascii="Century Gothic" w:hAnsi="Century Gothic"/>
        <w:sz w:val="14"/>
        <w:szCs w:val="14"/>
      </w:rPr>
      <w:fldChar w:fldCharType="separate"/>
    </w:r>
    <w:r w:rsidR="00331217">
      <w:rPr>
        <w:rStyle w:val="PageNumber"/>
        <w:rFonts w:ascii="Century Gothic" w:hAnsi="Century Gothic"/>
        <w:noProof/>
        <w:sz w:val="14"/>
        <w:szCs w:val="14"/>
      </w:rPr>
      <w:t>2</w:t>
    </w:r>
    <w:r w:rsidRPr="00FC53C8">
      <w:rPr>
        <w:rStyle w:val="PageNumber"/>
        <w:rFonts w:ascii="Century Gothic" w:hAnsi="Century Gothic"/>
        <w:sz w:val="14"/>
        <w:szCs w:val="14"/>
      </w:rPr>
      <w:fldChar w:fldCharType="end"/>
    </w:r>
  </w:p>
  <w:p w14:paraId="26E316DE" w14:textId="77777777" w:rsidR="00FF1DAD" w:rsidRPr="00FC53C8" w:rsidRDefault="00FF1DAD">
    <w:pPr>
      <w:pStyle w:val="Footer"/>
      <w:spacing w:line="200" w:lineRule="exact"/>
      <w:jc w:val="right"/>
      <w:rPr>
        <w:rFonts w:ascii="Century Gothic" w:hAnsi="Century Gothic"/>
        <w:sz w:val="14"/>
        <w:szCs w:val="14"/>
      </w:rPr>
    </w:pPr>
  </w:p>
  <w:p w14:paraId="70F10F39" w14:textId="77777777" w:rsidR="002B7D6D" w:rsidRDefault="00FC53C8">
    <w:pPr>
      <w:pStyle w:val="Footer"/>
      <w:tabs>
        <w:tab w:val="clear" w:pos="4320"/>
        <w:tab w:val="clear" w:pos="8640"/>
        <w:tab w:val="center" w:pos="4680"/>
        <w:tab w:val="right" w:pos="9360"/>
      </w:tabs>
      <w:spacing w:line="200" w:lineRule="exact"/>
      <w:jc w:val="right"/>
      <w:rPr>
        <w:rFonts w:ascii="Century Gothic" w:hAnsi="Century Gothic"/>
        <w:sz w:val="14"/>
        <w:szCs w:val="14"/>
      </w:rPr>
    </w:pPr>
    <w:r w:rsidRPr="00FC53C8">
      <w:rPr>
        <w:rFonts w:ascii="Century Gothic" w:hAnsi="Century Gothic"/>
        <w:noProof/>
        <w:spacing w:val="-2"/>
        <w:sz w:val="14"/>
        <w:szCs w:val="14"/>
      </w:rPr>
      <w:t>12908269.1</w:t>
    </w:r>
    <w:r w:rsidRPr="00FC53C8">
      <w:rPr>
        <w:rFonts w:ascii="Century Gothic" w:hAnsi="Century Gothic"/>
        <w:sz w:val="14"/>
        <w:szCs w:val="14"/>
      </w:rPr>
      <w:t xml:space="preserve"> </w:t>
    </w:r>
  </w:p>
  <w:p w14:paraId="6AE1EFF8" w14:textId="77777777" w:rsidR="00FF1DAD" w:rsidRPr="00FC53C8" w:rsidRDefault="002B7D6D" w:rsidP="002B7D6D">
    <w:pPr>
      <w:pStyle w:val="Footer"/>
      <w:tabs>
        <w:tab w:val="clear" w:pos="4320"/>
        <w:tab w:val="clear" w:pos="8640"/>
        <w:tab w:val="center" w:pos="4680"/>
        <w:tab w:val="right" w:pos="9360"/>
      </w:tabs>
      <w:spacing w:line="200" w:lineRule="exact"/>
      <w:jc w:val="right"/>
      <w:rPr>
        <w:rFonts w:ascii="Century Gothic" w:hAnsi="Century Gothic"/>
        <w:sz w:val="14"/>
        <w:szCs w:val="14"/>
      </w:rPr>
    </w:pPr>
    <w:r w:rsidRPr="002B7D6D">
      <w:rPr>
        <w:rFonts w:ascii="Century Gothic" w:hAnsi="Century Gothic"/>
        <w:noProof/>
        <w:spacing w:val="-2"/>
        <w:sz w:val="16"/>
        <w:szCs w:val="14"/>
      </w:rPr>
      <w:t>14683498.1</w:t>
    </w:r>
    <w:r>
      <w:rPr>
        <w:rFonts w:ascii="Century Gothic" w:hAnsi="Century Gothic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B6E2" w14:textId="77777777" w:rsidR="0071575C" w:rsidRDefault="0071575C">
      <w:r>
        <w:separator/>
      </w:r>
    </w:p>
  </w:footnote>
  <w:footnote w:type="continuationSeparator" w:id="0">
    <w:p w14:paraId="4658C013" w14:textId="77777777" w:rsidR="0071575C" w:rsidRDefault="0071575C">
      <w:r>
        <w:separator/>
      </w:r>
    </w:p>
    <w:p w14:paraId="55CD688D" w14:textId="77777777" w:rsidR="0071575C" w:rsidRDefault="0071575C">
      <w:pPr>
        <w:pStyle w:val="Footer"/>
      </w:pPr>
      <w:r>
        <w:t>(…continued)</w:t>
      </w:r>
    </w:p>
  </w:footnote>
  <w:footnote w:type="continuationNotice" w:id="1">
    <w:p w14:paraId="1E33A8ED" w14:textId="77777777" w:rsidR="0071575C" w:rsidRDefault="0071575C">
      <w:r>
        <w:t>(continued…)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65F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9A5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8AA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05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9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CB7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CC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F8E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2D3BB8"/>
    <w:multiLevelType w:val="singleLevel"/>
    <w:tmpl w:val="A092A8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AD"/>
    <w:rsid w:val="00066071"/>
    <w:rsid w:val="000C14A6"/>
    <w:rsid w:val="001443E2"/>
    <w:rsid w:val="001E41BD"/>
    <w:rsid w:val="00244B59"/>
    <w:rsid w:val="0024682A"/>
    <w:rsid w:val="002B7D6D"/>
    <w:rsid w:val="002C047C"/>
    <w:rsid w:val="00303C88"/>
    <w:rsid w:val="00331217"/>
    <w:rsid w:val="003642D4"/>
    <w:rsid w:val="003722A2"/>
    <w:rsid w:val="0043155F"/>
    <w:rsid w:val="004F0418"/>
    <w:rsid w:val="00572B5D"/>
    <w:rsid w:val="005C2F53"/>
    <w:rsid w:val="005D7C8C"/>
    <w:rsid w:val="00646F06"/>
    <w:rsid w:val="00652272"/>
    <w:rsid w:val="006A19F4"/>
    <w:rsid w:val="0071575C"/>
    <w:rsid w:val="008802D2"/>
    <w:rsid w:val="00890424"/>
    <w:rsid w:val="00905CEE"/>
    <w:rsid w:val="009E0D8D"/>
    <w:rsid w:val="009F369B"/>
    <w:rsid w:val="00AA2493"/>
    <w:rsid w:val="00AC5F2C"/>
    <w:rsid w:val="00B16D42"/>
    <w:rsid w:val="00B62171"/>
    <w:rsid w:val="00B9560C"/>
    <w:rsid w:val="00BF4632"/>
    <w:rsid w:val="00BF4640"/>
    <w:rsid w:val="00D13B88"/>
    <w:rsid w:val="00D5252D"/>
    <w:rsid w:val="00E326A8"/>
    <w:rsid w:val="00E46563"/>
    <w:rsid w:val="00F31468"/>
    <w:rsid w:val="00F535BA"/>
    <w:rsid w:val="00FC53C8"/>
    <w:rsid w:val="00FF1DA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1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resotitle">
    <w:name w:val="resotitle"/>
    <w:basedOn w:val="Normal"/>
    <w:pPr>
      <w:suppressAutoHyphens/>
      <w:spacing w:before="240"/>
      <w:jc w:val="center"/>
    </w:pPr>
    <w:rPr>
      <w:b/>
    </w:rPr>
  </w:style>
  <w:style w:type="paragraph" w:customStyle="1" w:styleId="resotitle2">
    <w:name w:val="resotitle2"/>
    <w:basedOn w:val="resotitle"/>
    <w:pPr>
      <w:spacing w:after="840"/>
      <w:ind w:left="1440" w:right="1440"/>
    </w:pPr>
  </w:style>
  <w:style w:type="paragraph" w:customStyle="1" w:styleId="recitals">
    <w:name w:val="recitals"/>
    <w:basedOn w:val="Normal"/>
    <w:pPr>
      <w:suppressAutoHyphens/>
      <w:spacing w:line="480" w:lineRule="auto"/>
      <w:ind w:firstLine="720"/>
    </w:pPr>
  </w:style>
  <w:style w:type="character" w:styleId="PageNumber">
    <w:name w:val="page number"/>
    <w:basedOn w:val="DefaultParagraphFont"/>
  </w:style>
  <w:style w:type="character" w:customStyle="1" w:styleId="zzmpTrailerItem">
    <w:name w:val="zzmpTrailerItem"/>
    <w:rPr>
      <w:rFonts w:ascii="CG Times" w:hAnsi="CG Times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CG Times" w:hAnsi="CG Time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2018-09-19T20:44:00Z</dcterms:created>
  <dcterms:modified xsi:type="dcterms:W3CDTF">2018-09-19T20:44:00Z</dcterms:modified>
  <cp:version/>
</cp:coreProperties>
</file>